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7CB" w:rsidRPr="00000D30" w:rsidRDefault="00B53CC6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Beépített tűzoltó</w:t>
      </w:r>
      <w:r w:rsidR="00FD0BD5">
        <w:rPr>
          <w:b/>
          <w:sz w:val="32"/>
          <w:szCs w:val="32"/>
        </w:rPr>
        <w:t xml:space="preserve"> </w:t>
      </w:r>
      <w:r w:rsidR="00000D30" w:rsidRPr="00000D30">
        <w:rPr>
          <w:b/>
          <w:sz w:val="32"/>
          <w:szCs w:val="32"/>
        </w:rPr>
        <w:t xml:space="preserve">berendezés </w:t>
      </w:r>
      <w:r w:rsidR="00000D30">
        <w:rPr>
          <w:b/>
          <w:sz w:val="32"/>
          <w:szCs w:val="32"/>
        </w:rPr>
        <w:t>t</w:t>
      </w:r>
      <w:r w:rsidR="00D13E4D" w:rsidRPr="00000D30">
        <w:rPr>
          <w:b/>
          <w:sz w:val="32"/>
          <w:szCs w:val="32"/>
        </w:rPr>
        <w:t xml:space="preserve">űzvédelmi szakértői </w:t>
      </w:r>
      <w:r w:rsidR="005567CB" w:rsidRPr="00000D30">
        <w:rPr>
          <w:b/>
          <w:sz w:val="32"/>
          <w:szCs w:val="32"/>
          <w:lang w:eastAsia="zh-CN"/>
        </w:rPr>
        <w:t>vizsga</w:t>
      </w:r>
    </w:p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425110" w:rsidRDefault="00B645EF" w:rsidP="00B645EF">
      <w:pPr>
        <w:suppressAutoHyphens/>
        <w:jc w:val="both"/>
      </w:pPr>
      <w:r w:rsidRPr="006A7BE7">
        <w:rPr>
          <w:rStyle w:val="Kiemels2"/>
          <w:b w:val="0"/>
          <w:bCs w:val="0"/>
        </w:rPr>
        <w:t xml:space="preserve">A vizsga </w:t>
      </w:r>
      <w:r>
        <w:rPr>
          <w:rStyle w:val="Kiemels2"/>
          <w:b w:val="0"/>
          <w:bCs w:val="0"/>
        </w:rPr>
        <w:t xml:space="preserve">alapesetben </w:t>
      </w:r>
      <w:r w:rsidRPr="006A7BE7">
        <w:rPr>
          <w:rStyle w:val="Kiemels2"/>
          <w:b w:val="0"/>
          <w:bCs w:val="0"/>
        </w:rPr>
        <w:t>írásbeli</w:t>
      </w:r>
      <w:r>
        <w:rPr>
          <w:rStyle w:val="Kiemels2"/>
          <w:b w:val="0"/>
          <w:bCs w:val="0"/>
        </w:rPr>
        <w:t xml:space="preserve">, abban az </w:t>
      </w:r>
      <w:r w:rsidR="00DD57BB">
        <w:rPr>
          <w:rStyle w:val="Kiemels2"/>
          <w:b w:val="0"/>
          <w:bCs w:val="0"/>
        </w:rPr>
        <w:t>esetben,</w:t>
      </w:r>
      <w:r>
        <w:rPr>
          <w:rStyle w:val="Kiemels2"/>
          <w:b w:val="0"/>
          <w:bCs w:val="0"/>
        </w:rPr>
        <w:t xml:space="preserve"> ha 80%-ot ér el a feltett kérdésekre adott válaszok tekintetében a vizsga sikeresen zárul. </w:t>
      </w:r>
      <w:r w:rsidR="00DD57BB">
        <w:rPr>
          <w:rStyle w:val="Kiemels2"/>
          <w:b w:val="0"/>
          <w:bCs w:val="0"/>
        </w:rPr>
        <w:t>Akkor,</w:t>
      </w:r>
      <w:r>
        <w:rPr>
          <w:rStyle w:val="Kiemels2"/>
          <w:b w:val="0"/>
          <w:bCs w:val="0"/>
        </w:rPr>
        <w:t xml:space="preserve"> ha</w:t>
      </w:r>
      <w:r w:rsidRPr="006A7BE7">
        <w:t xml:space="preserve"> a vizsgázó eredménye elérte vagy meghaladta a 60 %-ot, de nem érte el a 80 %-ot, kiegészítő szóbeli vizsgát kell t</w:t>
      </w:r>
      <w:r>
        <w:t xml:space="preserve">ennie a vizsgabizottság előtt. </w:t>
      </w:r>
    </w:p>
    <w:p w:rsidR="00425110" w:rsidRPr="006A7BE7" w:rsidRDefault="00425110" w:rsidP="00425110">
      <w:pPr>
        <w:pStyle w:val="Listaszerbekezds"/>
        <w:ind w:left="0"/>
        <w:jc w:val="both"/>
        <w:rPr>
          <w:rStyle w:val="Kiemels2"/>
          <w:b w:val="0"/>
          <w:bCs w:val="0"/>
          <w:szCs w:val="24"/>
        </w:rPr>
      </w:pPr>
    </w:p>
    <w:p w:rsidR="00425110" w:rsidRDefault="00425110" w:rsidP="00425110">
      <w:pPr>
        <w:jc w:val="both"/>
      </w:pPr>
      <w:r w:rsidRPr="00425110">
        <w:t>Szóbeli vizsgán a vizsgabizottsági tagok legalább 2-2 kérdést tesznek fel a vizsgázónak, majd a helyes válaszok arányá</w:t>
      </w:r>
      <w:r w:rsidR="00905995">
        <w:t>ban</w:t>
      </w:r>
      <w:r w:rsidRPr="00425110">
        <w:t xml:space="preserve"> döntenek a vizsga megfelelőségéről. Amennyiben a kérdésekre adott válaszok azonos arányban helyesek és helytelenek, a vizsgabizottság elnöke dönt a vizsga megfelelőségéről. </w:t>
      </w:r>
    </w:p>
    <w:p w:rsidR="00425110" w:rsidRDefault="00425110" w:rsidP="00425110">
      <w:pPr>
        <w:jc w:val="both"/>
      </w:pPr>
    </w:p>
    <w:p w:rsidR="005567CB" w:rsidRDefault="00B645EF" w:rsidP="00B645EF">
      <w:pPr>
        <w:suppressAutoHyphens/>
        <w:jc w:val="both"/>
      </w:pPr>
      <w:r>
        <w:t>A</w:t>
      </w:r>
      <w:r w:rsidR="00000D30">
        <w:t xml:space="preserve"> beépített tűz</w:t>
      </w:r>
      <w:r w:rsidR="00B53CC6">
        <w:t>oltó</w:t>
      </w:r>
      <w:r w:rsidR="00000D30">
        <w:t xml:space="preserve"> berendezés tűzvédelmi szakértői vizsga </w:t>
      </w:r>
      <w:r>
        <w:t xml:space="preserve">írásbeli vizsga témakörei: </w:t>
      </w:r>
    </w:p>
    <w:p w:rsidR="005567CB" w:rsidRDefault="005567CB"/>
    <w:p w:rsidR="005567CB" w:rsidRDefault="005567CB"/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577"/>
        <w:gridCol w:w="4380"/>
        <w:gridCol w:w="992"/>
      </w:tblGrid>
      <w:tr w:rsidR="00905995" w:rsidRPr="00C61558" w:rsidTr="00FF2AAF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/>
        </w:tc>
        <w:tc>
          <w:tcPr>
            <w:tcW w:w="4380" w:type="dxa"/>
            <w:vAlign w:val="center"/>
          </w:tcPr>
          <w:p w:rsidR="00905995" w:rsidRPr="00C61558" w:rsidRDefault="00905995" w:rsidP="00FF2AAF">
            <w:pPr>
              <w:jc w:val="center"/>
              <w:rPr>
                <w:b/>
              </w:rPr>
            </w:pPr>
            <w:r w:rsidRPr="00C61558">
              <w:rPr>
                <w:b/>
              </w:rPr>
              <w:t>Témakörök</w:t>
            </w:r>
          </w:p>
        </w:tc>
        <w:tc>
          <w:tcPr>
            <w:tcW w:w="992" w:type="dxa"/>
            <w:vAlign w:val="center"/>
          </w:tcPr>
          <w:p w:rsidR="00905995" w:rsidRPr="00C61558" w:rsidRDefault="00905995" w:rsidP="00FF2AAF">
            <w:pPr>
              <w:jc w:val="center"/>
            </w:pPr>
            <w:r>
              <w:t>Arány:</w:t>
            </w:r>
          </w:p>
        </w:tc>
      </w:tr>
      <w:tr w:rsidR="00905995" w:rsidRPr="00C61558" w:rsidTr="003A779C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>
            <w:bookmarkStart w:id="0" w:name="_GoBack" w:colFirst="2" w:colLast="2"/>
            <w:r w:rsidRPr="00C61558">
              <w:t>1.</w:t>
            </w:r>
          </w:p>
        </w:tc>
        <w:tc>
          <w:tcPr>
            <w:tcW w:w="4380" w:type="dxa"/>
            <w:vAlign w:val="center"/>
          </w:tcPr>
          <w:p w:rsidR="00905995" w:rsidRPr="00C61558" w:rsidRDefault="00905995" w:rsidP="00FF2AAF">
            <w:r w:rsidRPr="00C61558">
              <w:t>Általános Jogszabály ismeretek:</w:t>
            </w:r>
          </w:p>
        </w:tc>
        <w:tc>
          <w:tcPr>
            <w:tcW w:w="992" w:type="dxa"/>
            <w:vAlign w:val="center"/>
          </w:tcPr>
          <w:p w:rsidR="00905995" w:rsidRPr="00C61558" w:rsidRDefault="00905995" w:rsidP="00C53B9E">
            <w:pPr>
              <w:jc w:val="center"/>
            </w:pPr>
            <w:r>
              <w:t>~10%</w:t>
            </w:r>
          </w:p>
        </w:tc>
      </w:tr>
      <w:tr w:rsidR="00905995" w:rsidRPr="00C61558" w:rsidTr="003A779C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>
            <w:r w:rsidRPr="00C61558">
              <w:t>2.</w:t>
            </w:r>
          </w:p>
        </w:tc>
        <w:tc>
          <w:tcPr>
            <w:tcW w:w="4380" w:type="dxa"/>
            <w:vAlign w:val="center"/>
          </w:tcPr>
          <w:p w:rsidR="00905995" w:rsidRPr="00C61558" w:rsidRDefault="00905995" w:rsidP="00FF2AAF">
            <w:r w:rsidRPr="00C61558">
              <w:t>Tűzvédelmi Jogszabály ismeretek:</w:t>
            </w:r>
          </w:p>
        </w:tc>
        <w:tc>
          <w:tcPr>
            <w:tcW w:w="992" w:type="dxa"/>
            <w:vAlign w:val="center"/>
          </w:tcPr>
          <w:p w:rsidR="00905995" w:rsidRDefault="00905995" w:rsidP="00C53B9E">
            <w:pPr>
              <w:jc w:val="center"/>
            </w:pPr>
            <w:r w:rsidRPr="005421EB">
              <w:t>~10%</w:t>
            </w:r>
          </w:p>
        </w:tc>
      </w:tr>
      <w:tr w:rsidR="00905995" w:rsidRPr="00C61558" w:rsidTr="003A779C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>
            <w:r w:rsidRPr="00C61558">
              <w:t>3.</w:t>
            </w:r>
          </w:p>
        </w:tc>
        <w:tc>
          <w:tcPr>
            <w:tcW w:w="4380" w:type="dxa"/>
            <w:vAlign w:val="center"/>
          </w:tcPr>
          <w:p w:rsidR="00905995" w:rsidRPr="00C61558" w:rsidRDefault="00905995" w:rsidP="00FF2AAF">
            <w:r w:rsidRPr="00C61558">
              <w:t>Égéselmélet</w:t>
            </w:r>
          </w:p>
        </w:tc>
        <w:tc>
          <w:tcPr>
            <w:tcW w:w="992" w:type="dxa"/>
            <w:vAlign w:val="center"/>
          </w:tcPr>
          <w:p w:rsidR="00905995" w:rsidRDefault="00905995" w:rsidP="00C53B9E">
            <w:pPr>
              <w:jc w:val="center"/>
            </w:pPr>
            <w:r w:rsidRPr="005421EB">
              <w:t>~10%</w:t>
            </w:r>
          </w:p>
        </w:tc>
      </w:tr>
      <w:tr w:rsidR="00905995" w:rsidRPr="00C61558" w:rsidTr="003A779C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>
            <w:r w:rsidRPr="00C61558">
              <w:t>4.</w:t>
            </w:r>
          </w:p>
        </w:tc>
        <w:tc>
          <w:tcPr>
            <w:tcW w:w="4380" w:type="dxa"/>
            <w:vAlign w:val="center"/>
          </w:tcPr>
          <w:p w:rsidR="00905995" w:rsidRPr="00B53CC6" w:rsidRDefault="00B53CC6" w:rsidP="00FF2AAF">
            <w:r w:rsidRPr="00B53CC6">
              <w:t>A beépített tűzoltó berendezésekkel kapcsolatos műszaki ismeretek:</w:t>
            </w:r>
          </w:p>
        </w:tc>
        <w:tc>
          <w:tcPr>
            <w:tcW w:w="992" w:type="dxa"/>
            <w:vAlign w:val="center"/>
          </w:tcPr>
          <w:p w:rsidR="00905995" w:rsidRDefault="00905995" w:rsidP="00C53B9E">
            <w:pPr>
              <w:jc w:val="center"/>
            </w:pPr>
            <w:r w:rsidRPr="005421EB">
              <w:t>~</w:t>
            </w:r>
            <w:r>
              <w:t>35</w:t>
            </w:r>
            <w:r w:rsidRPr="005421EB">
              <w:t>%</w:t>
            </w:r>
          </w:p>
        </w:tc>
      </w:tr>
      <w:tr w:rsidR="00905995" w:rsidRPr="00C61558" w:rsidTr="003A779C">
        <w:trPr>
          <w:jc w:val="center"/>
        </w:trPr>
        <w:tc>
          <w:tcPr>
            <w:tcW w:w="577" w:type="dxa"/>
            <w:vAlign w:val="center"/>
          </w:tcPr>
          <w:p w:rsidR="00905995" w:rsidRPr="00C61558" w:rsidRDefault="00905995" w:rsidP="00FF2AAF">
            <w:r w:rsidRPr="00C61558">
              <w:t>5.</w:t>
            </w:r>
          </w:p>
        </w:tc>
        <w:tc>
          <w:tcPr>
            <w:tcW w:w="4380" w:type="dxa"/>
            <w:vAlign w:val="center"/>
          </w:tcPr>
          <w:p w:rsidR="00905995" w:rsidRPr="00C61558" w:rsidRDefault="00905995" w:rsidP="00FF2AAF">
            <w:r w:rsidRPr="00C61558">
              <w:t>Gyakorlati kérdések:</w:t>
            </w:r>
          </w:p>
        </w:tc>
        <w:tc>
          <w:tcPr>
            <w:tcW w:w="992" w:type="dxa"/>
            <w:vAlign w:val="center"/>
          </w:tcPr>
          <w:p w:rsidR="00905995" w:rsidRDefault="00905995" w:rsidP="00C53B9E">
            <w:pPr>
              <w:jc w:val="center"/>
            </w:pPr>
            <w:r w:rsidRPr="005421EB">
              <w:t>~</w:t>
            </w:r>
            <w:r>
              <w:t>35</w:t>
            </w:r>
            <w:r w:rsidRPr="005421EB">
              <w:t>%</w:t>
            </w:r>
          </w:p>
        </w:tc>
      </w:tr>
    </w:tbl>
    <w:bookmarkEnd w:id="0"/>
    <w:p w:rsidR="004321C6" w:rsidRPr="00FB2234" w:rsidRDefault="004321C6" w:rsidP="004321C6">
      <w:pPr>
        <w:spacing w:before="120"/>
        <w:jc w:val="center"/>
        <w:rPr>
          <w:sz w:val="20"/>
          <w:szCs w:val="20"/>
        </w:rPr>
      </w:pPr>
      <w:r w:rsidRPr="00FB2234">
        <w:rPr>
          <w:sz w:val="20"/>
          <w:szCs w:val="20"/>
        </w:rPr>
        <w:t xml:space="preserve">Megjegyzés: </w:t>
      </w:r>
      <w:r>
        <w:rPr>
          <w:sz w:val="20"/>
          <w:szCs w:val="20"/>
        </w:rPr>
        <w:t>Néhány</w:t>
      </w:r>
      <w:r w:rsidRPr="00FB2234">
        <w:rPr>
          <w:sz w:val="20"/>
          <w:szCs w:val="20"/>
        </w:rPr>
        <w:t xml:space="preserve"> százalékos eltérés az egyes </w:t>
      </w:r>
      <w:r>
        <w:rPr>
          <w:sz w:val="20"/>
          <w:szCs w:val="20"/>
        </w:rPr>
        <w:t>témakörök kérdései között előfordulhat</w:t>
      </w:r>
    </w:p>
    <w:p w:rsidR="00905995" w:rsidRDefault="00905995"/>
    <w:p w:rsidR="00A32C18" w:rsidRDefault="00A32C18" w:rsidP="00A32C18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Általános Jogszabály ismeretek:</w:t>
      </w:r>
    </w:p>
    <w:p w:rsidR="00A32C18" w:rsidRDefault="00A32C18" w:rsidP="00A32C1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az általános közigazgatási rendtartásról szóló 2016. évi CL. törvény;</w:t>
      </w:r>
    </w:p>
    <w:p w:rsidR="00D104C5" w:rsidRDefault="00A32C18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32C18">
        <w:rPr>
          <w:bCs/>
        </w:rPr>
        <w:t>az illetékről szóló 1990. évi XCIII. törvény;</w:t>
      </w:r>
    </w:p>
    <w:p w:rsidR="00483F25" w:rsidRPr="007F5B5E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épített környezet alakításáról és védelméről szóló 1997. évi LXXVIII. törvény;</w:t>
      </w:r>
    </w:p>
    <w:p w:rsidR="00EA66B2" w:rsidRPr="003F3CCC" w:rsidRDefault="00D104C5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4C5">
        <w:rPr>
          <w:bCs/>
        </w:rPr>
        <w:t>az építési termék építménybe történő betervezésének és beépítésének, ennek során a teljesítmény igazolásának részletes szabályairól szóló 275/2013. (VII. 16.) Korm. rendelet;</w:t>
      </w:r>
    </w:p>
    <w:p w:rsidR="003F3CCC" w:rsidRDefault="003F3CCC" w:rsidP="00E9651B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beépített tűzjelző, illetve tűzoltó berendezések létesítésének, használatbavételének és megszüntetésének engedélyezésére irányuló hatósági eljárás részletes szabályairól szóló 491/2017. (XII. 29.) Korm. rendelet</w:t>
      </w:r>
    </w:p>
    <w:p w:rsidR="003F3CCC" w:rsidRDefault="003F3CCC" w:rsidP="003F3CCC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egyes műszaki termékek tűzvédelmi megfelelőségét vizsgáló, ellenőrző és tanúsító szervezetek kijelöléséről szóló 492/2017. (XII. 29.) Korm. rendelet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egyes közérdeken alapuló kényszerítő indok alapján eljáró szakhatóságok kijelöléséről szóló 531/2017. (XII. 29.) Korm. rendelet</w:t>
      </w:r>
    </w:p>
    <w:p w:rsidR="00A32C18" w:rsidRPr="007F260F" w:rsidRDefault="00A32C18" w:rsidP="00B53CC6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A32C18" w:rsidRDefault="00A32C18" w:rsidP="00A32C18">
      <w:pPr>
        <w:overflowPunct w:val="0"/>
        <w:autoSpaceDE w:val="0"/>
        <w:autoSpaceDN w:val="0"/>
        <w:adjustRightInd w:val="0"/>
        <w:ind w:left="510"/>
        <w:jc w:val="both"/>
        <w:textAlignment w:val="baseline"/>
      </w:pPr>
    </w:p>
    <w:p w:rsidR="00D104C5" w:rsidRDefault="00D104C5" w:rsidP="00D104C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Jogszabály ismeretek:</w:t>
      </w:r>
    </w:p>
    <w:p w:rsidR="00F94DD0" w:rsidRPr="0020301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1996. évi XXXI. törvény a tűz elleni védekezésről, a műszaki mentésről és a </w:t>
      </w:r>
      <w:r w:rsidRPr="00203018">
        <w:t xml:space="preserve">tűzoltóságról; </w:t>
      </w:r>
    </w:p>
    <w:p w:rsidR="00F94DD0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03018">
        <w:rPr>
          <w:bCs/>
        </w:rPr>
        <w:t>a tűzvédelmi hatósági feladatokat ellátó szervezetekről, a tűzvédelmi bírságról és a tűzvédelemmel foglalkozók kötelező élet- és balesetbiztosításáról szóló 259/2011. (XII. 7.) Korm. rendelet</w:t>
      </w:r>
      <w:r>
        <w:rPr>
          <w:bCs/>
        </w:rPr>
        <w:t>;</w:t>
      </w:r>
    </w:p>
    <w:p w:rsidR="00EA66B2" w:rsidRDefault="00EA66B2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tűzvédelmi hatósági eljárások ál</w:t>
      </w:r>
      <w:r w:rsidR="003F3CCC">
        <w:t>talános és különös szabályairól</w:t>
      </w:r>
      <w:r>
        <w:t xml:space="preserve"> szóló 489/2017. (XII. 29.) Korm. rendelet</w:t>
      </w:r>
    </w:p>
    <w:p w:rsidR="00F94DD0" w:rsidRPr="006E726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lastRenderedPageBreak/>
        <w:t>az Országos Tűzvédelmi Szabályzatról szóló 54/2014. (XII. 5.) BM rendelet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hivatásos katasztrófavédelmi szerveknél, az önkormányzati és létesítményi tűzoltóságoknál, az önkéntes tűzoltó egyesületeknél, valamint az ez irányú szakágazatokban foglalkoztatottak szakmai képesítési követelményeiről és szakmai képzéseiről szóló 9/2015. (III. 25.) BM rendelet;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szakértői tevékenység szabályairól szóló 47/2011. (XII. 15.) BM rendelet;</w:t>
      </w:r>
    </w:p>
    <w:p w:rsidR="00483F25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szabályzat készítéséről szóló 30/1996. (XII. 6.) BM rendelet.</w:t>
      </w:r>
    </w:p>
    <w:p w:rsidR="00483F25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bejelentésköteles tűzvédelmi szolgáltatási tevékenységek megkezdésének és folyt</w:t>
      </w:r>
      <w:r w:rsidR="00C61FE2">
        <w:t>atásának részletes szabályairól</w:t>
      </w:r>
      <w:r>
        <w:t xml:space="preserve"> szóló 50/2011. (XII. 20.) BM rendelet</w:t>
      </w:r>
    </w:p>
    <w:p w:rsidR="00B53CC6" w:rsidRDefault="00F94DD0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 tűzvédelmi megfelelőségi tanúsítvány beszerzésére vonatkozó szabályokról szóló 22/2009. (VII. 23.) ÖM rendelet;</w:t>
      </w:r>
    </w:p>
    <w:p w:rsidR="00C61FE2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53CC6">
        <w:rPr>
          <w:bCs/>
        </w:rPr>
        <w:t>a fluortartalmú üvegházhatású gázokkal és az ózonréteget lebontó anyagokkal kapcsolatos tevékenységek végzésének feltételeiről szóló 14/2015. (II. 10.) Korm. rendelet</w:t>
      </w:r>
    </w:p>
    <w:p w:rsidR="00483F25" w:rsidRPr="00B06688" w:rsidRDefault="00483F25" w:rsidP="00B0668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Default="00483F25" w:rsidP="00483F2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Pr="00483F25" w:rsidRDefault="00483F25" w:rsidP="00CC740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Égéselmélet:</w:t>
      </w:r>
    </w:p>
    <w:p w:rsidR="000C7E32" w:rsidRDefault="000C7E32" w:rsidP="000C7E32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0C7E32">
        <w:t xml:space="preserve">Égés és tűzoltáselmélet, 2014.; egyetemi jegyzet, írta és szerkesztette: Dr. Restás Ágoston (forrás: </w:t>
      </w:r>
      <w:hyperlink r:id="rId6" w:history="1">
        <w:r w:rsidR="00905995" w:rsidRPr="00583021">
          <w:rPr>
            <w:rStyle w:val="Hiperhivatkozs"/>
          </w:rPr>
          <w:t>http://ludita.uni-nke.hu/repozitorium/bitstream/handle/11410/10409/Teljes%20sz%c3%b6veg%21?sequence=1&amp;isAllowed=y</w:t>
        </w:r>
      </w:hyperlink>
    </w:p>
    <w:p w:rsidR="00905995" w:rsidRDefault="00905995" w:rsidP="00905995">
      <w:pPr>
        <w:overflowPunct w:val="0"/>
        <w:autoSpaceDE w:val="0"/>
        <w:autoSpaceDN w:val="0"/>
        <w:adjustRightInd w:val="0"/>
        <w:ind w:left="1440"/>
        <w:textAlignment w:val="baseline"/>
      </w:pPr>
    </w:p>
    <w:p w:rsidR="00CC7407" w:rsidRPr="00CC7407" w:rsidRDefault="00CC7407" w:rsidP="00905995">
      <w:pPr>
        <w:overflowPunct w:val="0"/>
        <w:autoSpaceDE w:val="0"/>
        <w:autoSpaceDN w:val="0"/>
        <w:adjustRightInd w:val="0"/>
        <w:ind w:left="1080"/>
        <w:jc w:val="both"/>
        <w:textAlignment w:val="baseline"/>
      </w:pPr>
    </w:p>
    <w:p w:rsidR="00137AE3" w:rsidRDefault="00137AE3" w:rsidP="00B645EF">
      <w:pPr>
        <w:autoSpaceDE w:val="0"/>
        <w:autoSpaceDN w:val="0"/>
        <w:adjustRightInd w:val="0"/>
      </w:pPr>
    </w:p>
    <w:p w:rsidR="00B06688" w:rsidRPr="00406798" w:rsidRDefault="00E13A0F" w:rsidP="00E13A0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00D30">
        <w:t>A beépített tűzoltó berendezésekkel kapcsolatos műszaki ismeretek</w:t>
      </w:r>
      <w:r>
        <w:rPr>
          <w:bCs/>
        </w:rPr>
        <w:t xml:space="preserve"> </w:t>
      </w:r>
    </w:p>
    <w:p w:rsidR="00B06688" w:rsidRPr="004A3D56" w:rsidRDefault="004A3D56" w:rsidP="004A3D5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 w:rsidRPr="004A3D56">
        <w:rPr>
          <w:rFonts w:ascii="Open Sans" w:hAnsi="Open Sans" w:cs="Segoe UI"/>
        </w:rPr>
        <w:t xml:space="preserve">TVMI </w:t>
      </w:r>
      <w:r w:rsidR="00B53CC6" w:rsidRPr="004A3D56">
        <w:rPr>
          <w:rFonts w:ascii="Open Sans" w:hAnsi="Open Sans" w:cs="Segoe UI"/>
        </w:rPr>
        <w:t>Beépített tűzoltó be</w:t>
      </w:r>
      <w:r w:rsidRPr="004A3D56">
        <w:rPr>
          <w:rFonts w:ascii="Open Sans" w:hAnsi="Open Sans" w:cs="Segoe UI"/>
        </w:rPr>
        <w:t>rendezések tervezése, telepítése</w:t>
      </w:r>
    </w:p>
    <w:p w:rsidR="004A3D56" w:rsidRPr="004A3D56" w:rsidRDefault="004A3D56" w:rsidP="004A3D5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 w:rsidRPr="004A3D56">
        <w:rPr>
          <w:rFonts w:ascii="Open Sans" w:hAnsi="Open Sans" w:cs="Segoe UI"/>
        </w:rPr>
        <w:t xml:space="preserve">TVMI Felülvizsgálat és Karbantartás </w:t>
      </w:r>
    </w:p>
    <w:p w:rsidR="00406798" w:rsidRDefault="0040679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137AE3" w:rsidRDefault="00137AE3" w:rsidP="0040679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Gyakorlati kérdések</w:t>
      </w:r>
      <w:r>
        <w:t>:</w:t>
      </w:r>
    </w:p>
    <w:p w:rsidR="00406798" w:rsidRDefault="00406798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06798">
        <w:t>Az 1-3 pontban hivatkozott irodalmon felül:</w:t>
      </w:r>
    </w:p>
    <w:p w:rsidR="00905995" w:rsidRDefault="00137AE3" w:rsidP="0090599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</w:t>
      </w:r>
      <w:r w:rsidR="00483F25">
        <w:t>a BM OKF által közzétett szakmai vélemények/ tájékoztatók;</w:t>
      </w:r>
      <w:r w:rsidR="00905995" w:rsidRPr="00905995">
        <w:t xml:space="preserve"> </w:t>
      </w:r>
      <w:r w:rsidR="00905995">
        <w:t xml:space="preserve">a BM OKF által közzétett szakmai vélemények/ tájékoztatók: </w:t>
      </w:r>
      <w:hyperlink r:id="rId7" w:history="1">
        <w:r w:rsidR="00905995" w:rsidRPr="0021312F">
          <w:rPr>
            <w:rStyle w:val="Hiperhivatkozs"/>
          </w:rPr>
          <w:t>https://www.katasztrofavedelem.hu/34449/szakmai-tajekoztatok</w:t>
        </w:r>
      </w:hyperlink>
      <w:r w:rsidR="00905995">
        <w:t xml:space="preserve"> </w:t>
      </w:r>
    </w:p>
    <w:p w:rsidR="00483F25" w:rsidRDefault="003A779C" w:rsidP="00905995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  <w:hyperlink r:id="rId8" w:history="1">
        <w:r w:rsidR="00905995" w:rsidRPr="0021312F">
          <w:rPr>
            <w:rStyle w:val="Hiperhivatkozs"/>
          </w:rPr>
          <w:t>https://www.katasztrofavedelem.hu/123/orszagos-tuzvedelmi-szabalyzat</w:t>
        </w:r>
      </w:hyperlink>
    </w:p>
    <w:p w:rsidR="00137AE3" w:rsidRPr="00B06688" w:rsidRDefault="00137AE3" w:rsidP="00137AE3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tűzvédelmi műszaki irányelvek</w:t>
      </w:r>
      <w:r w:rsidR="00406798">
        <w:rPr>
          <w:bCs/>
        </w:rPr>
        <w:t>.</w:t>
      </w:r>
    </w:p>
    <w:p w:rsidR="00C61FE2" w:rsidRDefault="00C61FE2" w:rsidP="00C61FE2"/>
    <w:p w:rsidR="00C61FE2" w:rsidRDefault="00C61FE2" w:rsidP="00B53CC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61FE2">
        <w:t>Ajánlott irodalom:</w:t>
      </w:r>
    </w:p>
    <w:p w:rsidR="008E2AEF" w:rsidRDefault="008E2AEF" w:rsidP="008E2AEF">
      <w:pPr>
        <w:pStyle w:val="Listaszerbekezds"/>
        <w:ind w:left="510"/>
        <w:rPr>
          <w:szCs w:val="24"/>
        </w:rPr>
      </w:pPr>
      <w:r>
        <w:t>Az ajánlott irodalom teljes körű ismerete nélkül is eredményesen teljesíthető a tűzvédelmi szakértői vizsga.</w:t>
      </w:r>
    </w:p>
    <w:p w:rsidR="008E2AEF" w:rsidRDefault="008E2AEF" w:rsidP="008E2AEF">
      <w:pPr>
        <w:overflowPunct w:val="0"/>
        <w:autoSpaceDE w:val="0"/>
        <w:autoSpaceDN w:val="0"/>
        <w:adjustRightInd w:val="0"/>
        <w:ind w:left="510"/>
        <w:jc w:val="both"/>
        <w:textAlignment w:val="baseline"/>
      </w:pP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69B6">
        <w:t>MSZ EN 2</w:t>
      </w:r>
      <w:r w:rsidRPr="008869B6">
        <w:tab/>
      </w:r>
      <w:r w:rsidR="008E2AEF">
        <w:t>(</w:t>
      </w:r>
      <w:r w:rsidRPr="008869B6">
        <w:t>A tüzek osztályozása</w:t>
      </w:r>
      <w:r w:rsidR="008E2AEF">
        <w:t>) szabvány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69B6">
        <w:t>MSZ EN 615</w:t>
      </w:r>
      <w:r w:rsidRPr="008869B6">
        <w:tab/>
      </w:r>
      <w:r w:rsidR="008E2AEF">
        <w:t>(</w:t>
      </w:r>
      <w:r w:rsidRPr="008869B6">
        <w:t>Tűzvédelem. Oltóanyag. Az oltóporok előírásai (kivéve a D osztályú porokat).</w:t>
      </w:r>
      <w:r w:rsidR="008E2AEF">
        <w:t xml:space="preserve"> szabvány</w:t>
      </w:r>
    </w:p>
    <w:p w:rsidR="00B53CC6" w:rsidRDefault="008E2AEF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MSZ EN 1568 (</w:t>
      </w:r>
      <w:r w:rsidR="00B53CC6" w:rsidRPr="008869B6">
        <w:t>Tűzoltó anyagok. Habképző anyagok</w:t>
      </w:r>
      <w:r>
        <w:t>) szabvány</w:t>
      </w:r>
      <w:r w:rsidR="00B53CC6" w:rsidRPr="008869B6">
        <w:t>.</w:t>
      </w:r>
    </w:p>
    <w:p w:rsidR="00B53CC6" w:rsidRDefault="008E2AEF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MSZ EN 12094 (</w:t>
      </w:r>
      <w:r w:rsidR="00B53CC6" w:rsidRPr="008869B6">
        <w:t>Beépített tűzoltó berendezések. Gázzal oltó berendezések részegységei.</w:t>
      </w:r>
      <w:r>
        <w:t>) szabvány</w:t>
      </w:r>
      <w:r w:rsidR="00B53CC6" w:rsidRPr="008869B6">
        <w:t xml:space="preserve"> </w:t>
      </w:r>
    </w:p>
    <w:p w:rsidR="00B53CC6" w:rsidRDefault="008E2AEF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MSZ EN 15004 (</w:t>
      </w:r>
      <w:r w:rsidR="00B53CC6" w:rsidRPr="0010068B">
        <w:t>Beépített tűzoltó berendez</w:t>
      </w:r>
      <w:r w:rsidR="00B53CC6">
        <w:t>ések. Gázzal oltó berendezések.</w:t>
      </w:r>
      <w:r>
        <w:t>) szabvány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69B6">
        <w:lastRenderedPageBreak/>
        <w:t>MSZ EN 12259</w:t>
      </w:r>
      <w:r w:rsidR="008E2AEF">
        <w:t xml:space="preserve"> (</w:t>
      </w:r>
      <w:r w:rsidRPr="008869B6">
        <w:t>Beépített tűzoltó berendezések. Sprinkler és vízpermetező oltóberendezések részegységei.</w:t>
      </w:r>
      <w:r w:rsidR="008E2AEF">
        <w:t>) szabvány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69B6">
        <w:t>MSZ EN 12416</w:t>
      </w:r>
      <w:r w:rsidRPr="008869B6">
        <w:tab/>
      </w:r>
      <w:r w:rsidR="008E2AEF">
        <w:t>(</w:t>
      </w:r>
      <w:r w:rsidRPr="008869B6">
        <w:t>Beépített tűz</w:t>
      </w:r>
      <w:r w:rsidR="008E2AEF">
        <w:t>oltó berendezések. Porral oltók) szabvány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69B6">
        <w:t xml:space="preserve">MSZ EN </w:t>
      </w:r>
      <w:r>
        <w:t>671</w:t>
      </w:r>
      <w:r w:rsidRPr="008869B6">
        <w:tab/>
      </w:r>
      <w:r w:rsidR="008E2AEF">
        <w:t>(</w:t>
      </w:r>
      <w:r w:rsidRPr="008869B6">
        <w:t>Beépített tűzoltó berendezések. Automatikus sprinklerrendszerek. Tervezés, kivitelezés és karbantartás</w:t>
      </w:r>
      <w:r w:rsidR="008E2AEF">
        <w:t>) szabvány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69B6">
        <w:t xml:space="preserve">MSZ EN </w:t>
      </w:r>
      <w:r>
        <w:t>16327</w:t>
      </w:r>
      <w:r w:rsidRPr="008869B6">
        <w:tab/>
      </w:r>
      <w:r w:rsidR="008E2AEF">
        <w:t>(</w:t>
      </w:r>
      <w:r w:rsidRPr="008869B6">
        <w:t>Beépített tűzoltó berendezések. Habbal oltó rendszerek.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69B6">
        <w:t>Tűzvédelem. Oltóanyag. Szén-dioxid. (ISO 5923:1989)</w:t>
      </w:r>
      <w:r w:rsidR="008E2AEF">
        <w:t>) szabvány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69B6">
        <w:t>MSZ EN 27201</w:t>
      </w:r>
      <w:r w:rsidRPr="008869B6">
        <w:tab/>
      </w:r>
      <w:r w:rsidR="008E2AEF">
        <w:t>(</w:t>
      </w:r>
      <w:r w:rsidRPr="008869B6">
        <w:t>Tűzvédelem. Oltóanyagok. Halogénezett szénhidrogének</w:t>
      </w:r>
      <w:r w:rsidR="008E2AEF">
        <w:t>) szabvány</w:t>
      </w:r>
      <w:r w:rsidRPr="008869B6">
        <w:t>.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69B6" w:rsidDel="008869B6">
        <w:t>MSZ-14</w:t>
      </w:r>
      <w:r w:rsidRPr="008869B6">
        <w:t>-01005</w:t>
      </w:r>
      <w:r w:rsidRPr="008869B6" w:rsidDel="008869B6">
        <w:tab/>
      </w:r>
      <w:r w:rsidR="008E2AEF">
        <w:t>(</w:t>
      </w:r>
      <w:r w:rsidRPr="008869B6" w:rsidDel="008869B6">
        <w:t>Vízzel oltó önműködő tűzoltó</w:t>
      </w:r>
      <w:r w:rsidR="008E2AEF">
        <w:t xml:space="preserve"> </w:t>
      </w:r>
      <w:r w:rsidRPr="008869B6" w:rsidDel="008869B6">
        <w:t>berendezések. Műszaki követelmények. Ellenőrzés</w:t>
      </w:r>
      <w:r w:rsidR="008E2AEF">
        <w:t>) szabvány</w:t>
      </w:r>
    </w:p>
    <w:p w:rsidR="00B53CC6" w:rsidRDefault="00905995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53CC6">
        <w:rPr>
          <w:bCs/>
        </w:rPr>
        <w:t>Dr. Beda László: Égés és oltáselmélet.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MSZ 595 </w:t>
      </w:r>
      <w:r w:rsidR="008E2AEF">
        <w:t>(</w:t>
      </w:r>
      <w:r>
        <w:t xml:space="preserve">Építmények </w:t>
      </w:r>
      <w:r w:rsidR="008E2AEF">
        <w:t>tűzvédelme) szabvány vonatkozó részei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MSZ 9779 </w:t>
      </w:r>
      <w:r w:rsidR="008E2AEF">
        <w:t>(</w:t>
      </w:r>
      <w:r>
        <w:t>Habbal oltó berendezések</w:t>
      </w:r>
      <w:r w:rsidR="008E2AEF">
        <w:t>) szabvány vonatkozó részei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525C52">
        <w:t xml:space="preserve">MSZ 9781 </w:t>
      </w:r>
      <w:r w:rsidR="008E2AEF">
        <w:t>(</w:t>
      </w:r>
      <w:r w:rsidRPr="00525C52">
        <w:t>Sprinkler berendezés</w:t>
      </w:r>
      <w:r w:rsidR="008E2AEF">
        <w:t>) szabvány vonatkozó részei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525C52">
        <w:t xml:space="preserve">MSZ 9783:1985 </w:t>
      </w:r>
      <w:r w:rsidR="008E2AEF">
        <w:t>(</w:t>
      </w:r>
      <w:r w:rsidRPr="00525C52">
        <w:t>Szén-dioxiddal oltó berendezés</w:t>
      </w:r>
      <w:r w:rsidR="008E2AEF">
        <w:t>) szabvány</w:t>
      </w:r>
    </w:p>
    <w:p w:rsidR="00B53CC6" w:rsidRDefault="00B53CC6" w:rsidP="008E2AEF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525C52">
        <w:t xml:space="preserve">MSZ 9784 </w:t>
      </w:r>
      <w:r w:rsidR="008E2AEF">
        <w:t>szabvány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Beépített tűzvédelmi berendezések (BM TOP TKI).</w:t>
      </w:r>
    </w:p>
    <w:p w:rsidR="00B53CC6" w:rsidRDefault="00B53CC6" w:rsidP="00B53CC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engedélyezett tűzvédelmi berendezések tervezési segédletei, javítási karbantartási utasításai.</w:t>
      </w:r>
    </w:p>
    <w:p w:rsidR="00B53CC6" w:rsidRDefault="00B53CC6" w:rsidP="00B53CC6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C61FE2" w:rsidRPr="00D13E4D" w:rsidRDefault="00C61FE2">
      <w:pPr>
        <w:rPr>
          <w:sz w:val="32"/>
        </w:rPr>
      </w:pPr>
    </w:p>
    <w:sectPr w:rsidR="00C61FE2" w:rsidRPr="00D13E4D" w:rsidSect="00DE3A8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5906"/>
    <w:multiLevelType w:val="hybridMultilevel"/>
    <w:tmpl w:val="2766D9C2"/>
    <w:lvl w:ilvl="0" w:tplc="89CE3EB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42478"/>
    <w:multiLevelType w:val="hybridMultilevel"/>
    <w:tmpl w:val="A738ACD2"/>
    <w:lvl w:ilvl="0" w:tplc="220ECE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116AF"/>
    <w:multiLevelType w:val="hybridMultilevel"/>
    <w:tmpl w:val="82FA38DE"/>
    <w:name w:val="WW8Num22"/>
    <w:lvl w:ilvl="0" w:tplc="58C03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33271D"/>
    <w:multiLevelType w:val="hybridMultilevel"/>
    <w:tmpl w:val="5E6CED80"/>
    <w:lvl w:ilvl="0" w:tplc="9BF0E05E">
      <w:start w:val="1"/>
      <w:numFmt w:val="bullet"/>
      <w:lvlText w:val=""/>
      <w:lvlJc w:val="left"/>
      <w:pPr>
        <w:tabs>
          <w:tab w:val="num" w:pos="1020"/>
        </w:tabs>
        <w:ind w:left="1020" w:hanging="51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4" w15:restartNumberingAfterBreak="0">
    <w:nsid w:val="6CC74F35"/>
    <w:multiLevelType w:val="hybridMultilevel"/>
    <w:tmpl w:val="D3248FF0"/>
    <w:lvl w:ilvl="0" w:tplc="9BF0E05E">
      <w:start w:val="1"/>
      <w:numFmt w:val="bullet"/>
      <w:lvlText w:val="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96FF8"/>
    <w:multiLevelType w:val="hybridMultilevel"/>
    <w:tmpl w:val="47B69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E66AD"/>
    <w:multiLevelType w:val="hybridMultilevel"/>
    <w:tmpl w:val="820C8222"/>
    <w:lvl w:ilvl="0" w:tplc="9BF0E05E">
      <w:start w:val="1"/>
      <w:numFmt w:val="bullet"/>
      <w:lvlText w:val=""/>
      <w:lvlJc w:val="left"/>
      <w:pPr>
        <w:tabs>
          <w:tab w:val="num" w:pos="1645"/>
        </w:tabs>
        <w:ind w:left="1645" w:hanging="51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CB"/>
    <w:rsid w:val="00000D30"/>
    <w:rsid w:val="000C7E32"/>
    <w:rsid w:val="00126859"/>
    <w:rsid w:val="00137AE3"/>
    <w:rsid w:val="00173343"/>
    <w:rsid w:val="00181D52"/>
    <w:rsid w:val="00223E44"/>
    <w:rsid w:val="002E44C2"/>
    <w:rsid w:val="003153A3"/>
    <w:rsid w:val="00353E99"/>
    <w:rsid w:val="00364783"/>
    <w:rsid w:val="003A7595"/>
    <w:rsid w:val="003A779C"/>
    <w:rsid w:val="003F3CCC"/>
    <w:rsid w:val="00406798"/>
    <w:rsid w:val="00425110"/>
    <w:rsid w:val="004321C6"/>
    <w:rsid w:val="00451F2E"/>
    <w:rsid w:val="00483F25"/>
    <w:rsid w:val="004A3D56"/>
    <w:rsid w:val="00541422"/>
    <w:rsid w:val="005567CB"/>
    <w:rsid w:val="005C0963"/>
    <w:rsid w:val="006E208F"/>
    <w:rsid w:val="007F260F"/>
    <w:rsid w:val="008E2AEF"/>
    <w:rsid w:val="00902204"/>
    <w:rsid w:val="00905995"/>
    <w:rsid w:val="0094250D"/>
    <w:rsid w:val="009D678D"/>
    <w:rsid w:val="00A32C18"/>
    <w:rsid w:val="00A579F9"/>
    <w:rsid w:val="00A61A17"/>
    <w:rsid w:val="00A84B95"/>
    <w:rsid w:val="00AA74F5"/>
    <w:rsid w:val="00AB245C"/>
    <w:rsid w:val="00AD0F9E"/>
    <w:rsid w:val="00B06688"/>
    <w:rsid w:val="00B53CC6"/>
    <w:rsid w:val="00B645EF"/>
    <w:rsid w:val="00C248AF"/>
    <w:rsid w:val="00C53B9E"/>
    <w:rsid w:val="00C61FE2"/>
    <w:rsid w:val="00CA0A64"/>
    <w:rsid w:val="00CC7407"/>
    <w:rsid w:val="00D05A49"/>
    <w:rsid w:val="00D06A47"/>
    <w:rsid w:val="00D104C5"/>
    <w:rsid w:val="00D13E4D"/>
    <w:rsid w:val="00D36B33"/>
    <w:rsid w:val="00D56328"/>
    <w:rsid w:val="00D716F1"/>
    <w:rsid w:val="00DD57BB"/>
    <w:rsid w:val="00DE3A86"/>
    <w:rsid w:val="00E10A31"/>
    <w:rsid w:val="00E10E68"/>
    <w:rsid w:val="00E13A0F"/>
    <w:rsid w:val="00EA66B2"/>
    <w:rsid w:val="00F60B8B"/>
    <w:rsid w:val="00F94DD0"/>
    <w:rsid w:val="00FD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6AFFC-A1CB-4DBD-A18A-13BB374D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7AE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E44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44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44C2"/>
    <w:pPr>
      <w:pBdr>
        <w:top w:val="single" w:sz="6" w:space="2" w:color="5B9BD5" w:themeColor="accent1"/>
      </w:pBdr>
      <w:spacing w:before="300"/>
      <w:outlineLvl w:val="2"/>
    </w:pPr>
    <w:rPr>
      <w:rFonts w:asciiTheme="minorHAnsi" w:eastAsiaTheme="minorHAnsi" w:hAnsiTheme="minorHAnsi" w:cstheme="minorBidi"/>
      <w:caps/>
      <w:color w:val="1F4D78" w:themeColor="accent1" w:themeShade="7F"/>
      <w:spacing w:val="15"/>
      <w:sz w:val="20"/>
      <w:szCs w:val="20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E44C2"/>
    <w:pPr>
      <w:pBdr>
        <w:top w:val="dotted" w:sz="6" w:space="2" w:color="5B9BD5" w:themeColor="accent1"/>
      </w:pBdr>
      <w:spacing w:before="200"/>
      <w:outlineLvl w:val="3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E44C2"/>
    <w:pPr>
      <w:pBdr>
        <w:bottom w:val="single" w:sz="6" w:space="1" w:color="5B9BD5" w:themeColor="accent1"/>
      </w:pBdr>
      <w:spacing w:before="200"/>
      <w:outlineLvl w:val="4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E44C2"/>
    <w:pPr>
      <w:pBdr>
        <w:bottom w:val="dotted" w:sz="6" w:space="1" w:color="5B9BD5" w:themeColor="accent1"/>
      </w:pBdr>
      <w:spacing w:before="200"/>
      <w:outlineLvl w:val="5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44C2"/>
    <w:pPr>
      <w:spacing w:before="200"/>
      <w:outlineLvl w:val="6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44C2"/>
    <w:pPr>
      <w:spacing w:before="20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E44C2"/>
    <w:pPr>
      <w:spacing w:before="200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44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E44C2"/>
    <w:rPr>
      <w:caps/>
      <w:spacing w:val="15"/>
      <w:shd w:val="clear" w:color="auto" w:fill="DEEAF6" w:themeFill="accent1" w:themeFillTint="33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44C2"/>
    <w:rPr>
      <w:caps/>
      <w:color w:val="1F4D78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44C2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E44C2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E44C2"/>
    <w:rPr>
      <w:rFonts w:eastAsiaTheme="minorHAnsi" w:cstheme="minorBidi"/>
      <w:b/>
      <w:bCs/>
      <w:color w:val="2E74B5" w:themeColor="accent1" w:themeShade="BF"/>
      <w:sz w:val="16"/>
      <w:szCs w:val="16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E44C2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E44C2"/>
    <w:rPr>
      <w:caps/>
      <w:color w:val="595959" w:themeColor="text1" w:themeTint="A6"/>
      <w:spacing w:val="10"/>
      <w:sz w:val="21"/>
      <w:szCs w:val="21"/>
    </w:rPr>
  </w:style>
  <w:style w:type="character" w:styleId="Kiemels2">
    <w:name w:val="Strong"/>
    <w:uiPriority w:val="22"/>
    <w:qFormat/>
    <w:rsid w:val="002E44C2"/>
    <w:rPr>
      <w:b/>
      <w:bCs/>
    </w:rPr>
  </w:style>
  <w:style w:type="character" w:styleId="Kiemels">
    <w:name w:val="Emphasis"/>
    <w:uiPriority w:val="20"/>
    <w:qFormat/>
    <w:rsid w:val="002E44C2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2E44C2"/>
  </w:style>
  <w:style w:type="paragraph" w:styleId="Listaszerbekezds">
    <w:name w:val="List Paragraph"/>
    <w:basedOn w:val="Norml"/>
    <w:uiPriority w:val="34"/>
    <w:qFormat/>
    <w:rsid w:val="002E44C2"/>
    <w:pPr>
      <w:ind w:left="720"/>
      <w:contextualSpacing/>
    </w:pPr>
    <w:rPr>
      <w:rFonts w:eastAsiaTheme="minorHAnsi" w:cstheme="minorBidi"/>
      <w:szCs w:val="20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2E44C2"/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E44C2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E44C2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5B9BD5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E44C2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2E44C2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2E44C2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2E44C2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2E44C2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2E44C2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E44C2"/>
    <w:pPr>
      <w:outlineLvl w:val="9"/>
    </w:pPr>
    <w:rPr>
      <w:rFonts w:ascii="Times New Roman" w:hAnsi="Times New Roman"/>
    </w:rPr>
  </w:style>
  <w:style w:type="table" w:styleId="Rcsostblzat">
    <w:name w:val="Table Grid"/>
    <w:basedOn w:val="Normltblzat"/>
    <w:uiPriority w:val="39"/>
    <w:rsid w:val="0055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06688"/>
    <w:rPr>
      <w:strike w:val="0"/>
      <w:dstrike w:val="0"/>
      <w:color w:val="007AC3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6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5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tasztrofavedelem.hu/123/orszagos-tuzvedelmi-szabalyza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katasztrofavedelem.hu/34449/szakmai-tajekoztato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udita.uni-nke.hu/repozitorium/bitstream/handle/11410/10409/Teljes%20sz%c3%b6veg%21?sequence=1&amp;isAllowed=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F3275-77C9-400B-8629-F77A1A97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5183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Fentor László</dc:creator>
  <cp:keywords/>
  <dc:description/>
  <cp:lastModifiedBy>Barta-Vámos László</cp:lastModifiedBy>
  <cp:revision>3</cp:revision>
  <cp:lastPrinted>2020-11-04T07:22:00Z</cp:lastPrinted>
  <dcterms:created xsi:type="dcterms:W3CDTF">2021-10-19T11:10:00Z</dcterms:created>
  <dcterms:modified xsi:type="dcterms:W3CDTF">2021-10-19T11:17:00Z</dcterms:modified>
</cp:coreProperties>
</file>